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jc w:val="center"/>
        <w:tblCellSpacing w:w="0" w:type="dxa"/>
        <w:shd w:val="clear" w:color="auto" w:fill="00215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1"/>
      </w:tblGrid>
      <w:tr w:rsidR="00174B86" w:rsidRPr="00174B86" w:rsidTr="00953E12">
        <w:trPr>
          <w:trHeight w:val="9022"/>
          <w:tblCellSpacing w:w="0" w:type="dxa"/>
          <w:jc w:val="center"/>
        </w:trPr>
        <w:tc>
          <w:tcPr>
            <w:tcW w:w="0" w:type="auto"/>
            <w:shd w:val="clear" w:color="auto" w:fill="00215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499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3"/>
            </w:tblGrid>
            <w:tr w:rsidR="00174B86" w:rsidRPr="00174B86" w:rsidTr="00953E12">
              <w:trPr>
                <w:trHeight w:val="902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2157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00215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3"/>
                  </w:tblGrid>
                  <w:tr w:rsidR="00174B86" w:rsidRPr="00174B86" w:rsidTr="00953E12">
                    <w:trPr>
                      <w:trHeight w:val="9022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43"/>
                        </w:tblGrid>
                        <w:tr w:rsidR="00174B86" w:rsidRPr="00174B86" w:rsidTr="00953E12">
                          <w:trPr>
                            <w:trHeight w:val="139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43"/>
                              </w:tblGrid>
                              <w:tr w:rsidR="00174B86" w:rsidRPr="00174B86" w:rsidTr="00953E12">
                                <w:trPr>
                                  <w:trHeight w:val="13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43"/>
                                    </w:tblGrid>
                                    <w:tr w:rsidR="00174B86" w:rsidRPr="00174B86" w:rsidTr="00953E12">
                                      <w:trPr>
                                        <w:trHeight w:val="12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174B86" w:rsidRPr="00174B86" w:rsidRDefault="00174B86" w:rsidP="00174B8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74B86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0099624B" wp14:editId="77C42BCC">
                                                <wp:extent cx="47625" cy="9525"/>
                                                <wp:effectExtent l="0" t="0" r="0" b="0"/>
                                                <wp:docPr id="1" name="Picture 1" descr="https://ci6.googleusercontent.com/proxy/hGrq11JG9KecB2nG0ztsJdIJsShd70PcMwlY7vDILI7Fc7SBVfbbc4wG_OUVaE6DKHnxEZLrHYsrLGiKl23tFIyxiTHqbeDSTQkpSvG9=s0-d-e1-ft#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B86" w:rsidRPr="00174B86" w:rsidRDefault="00174B86" w:rsidP="00174B8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4999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2"/>
                          <w:gridCol w:w="3479"/>
                        </w:tblGrid>
                        <w:tr w:rsidR="00953E12" w:rsidRPr="00174B86" w:rsidTr="00953E12">
                          <w:trPr>
                            <w:trHeight w:val="1444"/>
                            <w:tblCellSpacing w:w="0" w:type="dxa"/>
                            <w:jc w:val="center"/>
                          </w:trPr>
                          <w:tc>
                            <w:tcPr>
                              <w:tcW w:w="3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2"/>
                              </w:tblGrid>
                              <w:tr w:rsidR="00174B86" w:rsidRPr="00174B86" w:rsidTr="00953E12">
                                <w:trPr>
                                  <w:trHeight w:val="13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62"/>
                                    </w:tblGrid>
                                    <w:tr w:rsidR="00174B86" w:rsidRPr="00174B86" w:rsidTr="00953E12">
                                      <w:trPr>
                                        <w:trHeight w:val="12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5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174B86" w:rsidRPr="00174B86" w:rsidRDefault="00174B86" w:rsidP="00174B8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21E1F"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2D1A261F" wp14:editId="5F354B3A">
                                                <wp:extent cx="3709763" cy="885825"/>
                                                <wp:effectExtent l="0" t="0" r="5080" b="0"/>
                                                <wp:docPr id="7" name="Picture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wISAM.jp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3815308" cy="91102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174B86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75C919E" wp14:editId="46DC1159">
                                                <wp:extent cx="47625" cy="9525"/>
                                                <wp:effectExtent l="0" t="0" r="0" b="0"/>
                                                <wp:docPr id="2" name="Picture 2" descr="https://ci6.googleusercontent.com/proxy/hGrq11JG9KecB2nG0ztsJdIJsShd70PcMwlY7vDILI7Fc7SBVfbbc4wG_OUVaE6DKHnxEZLrHYsrLGiKl23tFIyxiTHqbeDSTQkpSvG9=s0-d-e1-ft#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B86" w:rsidRPr="00174B86" w:rsidTr="00953E1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2"/>
                              </w:tblGrid>
                              <w:tr w:rsidR="00174B86" w:rsidRPr="00174B86" w:rsidTr="00953E12">
                                <w:trPr>
                                  <w:trHeight w:val="13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62"/>
                                    </w:tblGrid>
                                    <w:tr w:rsidR="00174B86" w:rsidRPr="00174B86" w:rsidTr="00953E12">
                                      <w:trPr>
                                        <w:trHeight w:val="12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174B86" w:rsidRPr="00174B86" w:rsidRDefault="00174B86" w:rsidP="00174B8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74B86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554B20FB" wp14:editId="032CA32D">
                                                <wp:extent cx="47625" cy="9525"/>
                                                <wp:effectExtent l="0" t="0" r="0" b="0"/>
                                                <wp:docPr id="3" name="Picture 3" descr="https://ci6.googleusercontent.com/proxy/hGrq11JG9KecB2nG0ztsJdIJsShd70PcMwlY7vDILI7Fc7SBVfbbc4wG_OUVaE6DKHnxEZLrHYsrLGiKl23tFIyxiTHqbeDSTQkpSvG9=s0-d-e1-ft#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79"/>
                              </w:tblGrid>
                              <w:tr w:rsidR="00174B86" w:rsidRPr="00174B86" w:rsidTr="00953E12">
                                <w:trPr>
                                  <w:trHeight w:val="72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E86AD"/>
                                        <w:sz w:val="54"/>
                                        <w:szCs w:val="54"/>
                                      </w:rPr>
                                      <w:t>Join Us!</w:t>
                                    </w:r>
                                  </w:p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  <w:t>Let's hear your voice.</w:t>
                                    </w: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B86" w:rsidRPr="00174B86" w:rsidRDefault="00174B86" w:rsidP="00174B8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43"/>
                        </w:tblGrid>
                        <w:tr w:rsidR="00174B86" w:rsidRPr="00174B86" w:rsidTr="00953E12">
                          <w:trPr>
                            <w:trHeight w:val="481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C4C4C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43"/>
                              </w:tblGrid>
                              <w:tr w:rsidR="00174B86" w:rsidRPr="00174B86" w:rsidTr="00953E12">
                                <w:trPr>
                                  <w:trHeight w:val="22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THURSDAY, MARCH 26, 2020 @ 7:00 PM</w:t>
                                    </w: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B86" w:rsidRPr="00174B86" w:rsidRDefault="00174B86" w:rsidP="00174B8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43"/>
                        </w:tblGrid>
                        <w:tr w:rsidR="00174B86" w:rsidRPr="00174B86" w:rsidTr="00953E12">
                          <w:trPr>
                            <w:trHeight w:val="3598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43"/>
                              </w:tblGrid>
                              <w:tr w:rsidR="00174B86" w:rsidRPr="00174B86" w:rsidTr="00953E12">
                                <w:trPr>
                                  <w:trHeight w:val="3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  <w:t>Please join us for this month's town hall teleconference call. </w:t>
                                    </w: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21E1F"/>
                                        <w:sz w:val="21"/>
                                        <w:szCs w:val="21"/>
                                      </w:rPr>
                                      <w:t>CAPT Ted Hall will lead the conversation on the </w:t>
                                    </w:r>
                                    <w:hyperlink r:id="rId9" w:tgtFrame="_blank" w:history="1">
                                      <w:r w:rsidRPr="00174B8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2C2C2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Methamphetamines: Old Issue, New Problems</w:t>
                                      </w:r>
                                    </w:hyperlink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21E1F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21E1F"/>
                                        <w:sz w:val="21"/>
                                        <w:szCs w:val="21"/>
                                      </w:rPr>
                                      <w:t>If you are planning to attend, please review the articles attached below prior to the discussion:</w:t>
                                    </w:r>
                                  </w:p>
                                  <w:p w:rsidR="00174B86" w:rsidRPr="00174B86" w:rsidRDefault="00D12BB3" w:rsidP="00174B8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hyperlink r:id="rId10" w:tgtFrame="_blank" w:history="1">
                                      <w:r w:rsidR="00174B86" w:rsidRPr="00174B8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C2C2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Emotionality</w:t>
                                      </w:r>
                                    </w:hyperlink>
                                  </w:p>
                                  <w:p w:rsidR="00174B86" w:rsidRPr="00174B86" w:rsidRDefault="00D12BB3" w:rsidP="00174B8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hyperlink r:id="rId11" w:tgtFrame="_blank" w:history="1">
                                      <w:r w:rsidR="00174B86" w:rsidRPr="00174B8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C2C2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Feasibility Study</w:t>
                                      </w:r>
                                    </w:hyperlink>
                                  </w:p>
                                  <w:p w:rsidR="00174B86" w:rsidRPr="00174B86" w:rsidRDefault="00D12BB3" w:rsidP="00174B8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tgtFrame="_blank" w:history="1">
                                      <w:r w:rsidR="00174B86" w:rsidRPr="00174B8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C2C2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Negative Symptoms</w:t>
                                      </w:r>
                                    </w:hyperlink>
                                  </w:p>
                                  <w:p w:rsidR="00174B86" w:rsidRPr="00174B86" w:rsidRDefault="00D12BB3" w:rsidP="00174B8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hyperlink r:id="rId13" w:tgtFrame="_blank" w:history="1">
                                      <w:r w:rsidR="00174B86" w:rsidRPr="00174B8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C2C2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GABAergic</w:t>
                                      </w:r>
                                    </w:hyperlink>
                                  </w:p>
                                  <w:p w:rsidR="00174B86" w:rsidRPr="00174B86" w:rsidRDefault="00D12BB3" w:rsidP="00174B8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ind w:left="945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hyperlink r:id="rId14" w:tgtFrame="_blank" w:history="1">
                                      <w:r w:rsidR="00174B86" w:rsidRPr="00174B8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C2C2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Concomitant Use</w:t>
                                      </w:r>
                                    </w:hyperlink>
                                  </w:p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21E1F"/>
                                        <w:sz w:val="21"/>
                                        <w:szCs w:val="21"/>
                                      </w:rPr>
                                      <w:t>Click to: </w:t>
                                    </w:r>
                                    <w:hyperlink r:id="rId15" w:tgtFrame="_blank" w:history="1">
                                      <w:r w:rsidRPr="00174B8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21E1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Join Microsoft Teams Meeting</w:t>
                                      </w:r>
                                    </w:hyperlink>
                                  </w:p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21E1F"/>
                                        <w:sz w:val="21"/>
                                        <w:szCs w:val="21"/>
                                      </w:rPr>
                                      <w:t>Call in:  </w:t>
                                    </w: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  <w:t>+1 920-455-5903</w:t>
                                    </w:r>
                                  </w:p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  <w:t>Conference ID:</w:t>
                                    </w: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21E1F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1"/>
                                        <w:szCs w:val="21"/>
                                      </w:rPr>
                                      <w:t>902 420 358#</w:t>
                                    </w: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B86" w:rsidRPr="00174B86" w:rsidRDefault="00174B86" w:rsidP="00174B8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43"/>
                        </w:tblGrid>
                        <w:tr w:rsidR="00174B86" w:rsidRPr="00174B86" w:rsidTr="00953E12">
                          <w:trPr>
                            <w:trHeight w:val="1457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C4C4C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43"/>
                              </w:tblGrid>
                              <w:tr w:rsidR="00174B86" w:rsidRPr="00174B86" w:rsidTr="00953E12">
                                <w:trPr>
                                  <w:trHeight w:val="120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CAPT Ted Hall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FFFFFF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577850" cy="866775"/>
                                          <wp:effectExtent l="0" t="0" r="0" b="9525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tED.jp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577850" cy="866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B86" w:rsidRPr="00174B86" w:rsidRDefault="00174B86" w:rsidP="00174B8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43"/>
                        </w:tblGrid>
                        <w:tr w:rsidR="00174B86" w:rsidRPr="00174B86" w:rsidTr="00953E12">
                          <w:trPr>
                            <w:trHeight w:val="1888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43"/>
                              </w:tblGrid>
                              <w:tr w:rsidR="00174B86" w:rsidRPr="00174B86" w:rsidTr="00953E12">
                                <w:trPr>
                                  <w:trHeight w:val="163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68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"/>
                                      <w:gridCol w:w="252"/>
                                    </w:tblGrid>
                                    <w:tr w:rsidR="00174B86" w:rsidRPr="00174B86" w:rsidTr="00953E12">
                                      <w:trPr>
                                        <w:trHeight w:val="1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4B86" w:rsidRPr="00174B86" w:rsidRDefault="00174B86" w:rsidP="00174B8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2" w:type="dxa"/>
                                          <w:hideMark/>
                                        </w:tcPr>
                                        <w:p w:rsidR="00174B86" w:rsidRPr="00174B86" w:rsidRDefault="00174B86" w:rsidP="00174B8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74B86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3E3D2692" wp14:editId="32759124">
                                                <wp:extent cx="142875" cy="9525"/>
                                                <wp:effectExtent l="0" t="0" r="0" b="0"/>
                                                <wp:docPr id="4" name="Picture 4" descr="https://ci6.googleusercontent.com/proxy/hGrq11JG9KecB2nG0ztsJdIJsShd70PcMwlY7vDILI7Fc7SBVfbbc4wG_OUVaE6DKHnxEZLrHYsrLGiKl23tFIyxiTHqbeDSTQkpSvG9=s0-d-e1-ft#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74B86" w:rsidRPr="00174B86" w:rsidTr="00953E12">
                                      <w:trPr>
                                        <w:trHeight w:val="12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4B86" w:rsidRPr="00174B86" w:rsidRDefault="00174B86" w:rsidP="00174B8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74B86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4AFD880E" wp14:editId="2D76939C">
                                                <wp:extent cx="9525" cy="47625"/>
                                                <wp:effectExtent l="0" t="0" r="0" b="0"/>
                                                <wp:docPr id="5" name="Picture 5" descr="https://ci6.googleusercontent.com/proxy/hGrq11JG9KecB2nG0ztsJdIJsShd70PcMwlY7vDILI7Fc7SBVfbbc4wG_OUVaE6DKHnxEZLrHYsrLGiKl23tFIyxiTHqbeDSTQkpSvG9=s0-d-e1-ft#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2" w:type="dxa"/>
                                          <w:hideMark/>
                                        </w:tcPr>
                                        <w:p w:rsidR="00174B86" w:rsidRPr="00174B86" w:rsidRDefault="00174B86" w:rsidP="00174B86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74B86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7B5952D4" wp14:editId="582E3DD4">
                                                <wp:extent cx="47625" cy="9525"/>
                                                <wp:effectExtent l="0" t="0" r="0" b="0"/>
                                                <wp:docPr id="6" name="Picture 6" descr="https://ci6.googleusercontent.com/proxy/hGrq11JG9KecB2nG0ztsJdIJsShd70PcMwlY7vDILI7Fc7SBVfbbc4wG_OUVaE6DKHnxEZLrHYsrLGiKl23tFIyxiTHqbeDSTQkpSvG9=s0-d-e1-ft#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ci6.googleusercontent.com/proxy/hGrq11JG9KecB2nG0ztsJdIJsShd70PcMwlY7vDILI7Fc7SBVfbbc4wG_OUVaE6DKHnxEZLrHYsrLGiKl23tFIyxiTHqbeDSTQkpSvG9=s0-d-e1-ft#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B86" w:rsidRPr="00174B86" w:rsidRDefault="00174B86" w:rsidP="00174B8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C2C2C"/>
                                        <w:sz w:val="24"/>
                                        <w:szCs w:val="24"/>
                                      </w:rPr>
                                    </w:pP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CAPT Ted Hall is a </w:t>
                                    </w:r>
                                    <w:r w:rsidR="00540193" w:rsidRPr="00174B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board-certified</w:t>
                                    </w: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psychiatric pharmacist practicing as a non-physician medical provider with diagnostic an</w:t>
                                    </w:r>
                                    <w:r w:rsidR="007402C1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Pr="00174B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prescriptive authority for psychiatric and substance use disorders. He is a member of the Substance Abuse and Mental Health Services Administration (SAMHSA) Technical Expert Panel (TEP) for Evidence-Based Guidebook on Treatment of Stimulant Use as well as the Indian Health Service (IHS) Heroin, Opioids, and Pain Efforts Committee. He also serves as a member of the Office of the White House/Office of National Drug Control Policy (ONDCP) Policy Control Committee- Eliminate Barriers to Treatment Availability. </w:t>
                                    </w:r>
                                  </w:p>
                                </w:tc>
                              </w:tr>
                            </w:tbl>
                            <w:p w:rsidR="00174B86" w:rsidRPr="00174B86" w:rsidRDefault="00174B86" w:rsidP="00174B86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B86" w:rsidRPr="00174B86" w:rsidRDefault="00174B86" w:rsidP="00174B8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B86" w:rsidRPr="00174B86" w:rsidRDefault="00174B86" w:rsidP="00174B8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174B86" w:rsidRPr="00174B86" w:rsidRDefault="00174B86" w:rsidP="00174B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681602" w:rsidRDefault="00675A7F" w:rsidP="00F622C0">
      <w:pPr>
        <w:jc w:val="center"/>
        <w:rPr>
          <w:b/>
          <w:u w:val="single"/>
        </w:rPr>
      </w:pPr>
      <w:r>
        <w:rPr>
          <w:b/>
          <w:u w:val="single"/>
        </w:rPr>
        <w:t xml:space="preserve">Facilitator </w:t>
      </w:r>
      <w:r w:rsidR="00681602" w:rsidRPr="00953E12">
        <w:rPr>
          <w:b/>
          <w:u w:val="single"/>
        </w:rPr>
        <w:t>Notes:</w:t>
      </w:r>
    </w:p>
    <w:p w:rsidR="00953E12" w:rsidRPr="00F622C0" w:rsidRDefault="00133045" w:rsidP="00BD6613">
      <w:pPr>
        <w:pStyle w:val="ListParagraph"/>
        <w:numPr>
          <w:ilvl w:val="0"/>
          <w:numId w:val="2"/>
        </w:numPr>
      </w:pPr>
      <w:r>
        <w:t xml:space="preserve">Trends and </w:t>
      </w:r>
      <w:r w:rsidR="00BD6613" w:rsidRPr="00F622C0">
        <w:t>Contamination</w:t>
      </w:r>
    </w:p>
    <w:p w:rsidR="00822CB2" w:rsidRPr="00F622C0" w:rsidRDefault="00F622C0" w:rsidP="00F622C0">
      <w:pPr>
        <w:pStyle w:val="ListParagraph"/>
        <w:numPr>
          <w:ilvl w:val="1"/>
          <w:numId w:val="2"/>
        </w:numPr>
      </w:pPr>
      <w:r w:rsidRPr="00F622C0">
        <w:t>Today’s Methamphetamine v. “Speed” and Cocaine of the 80’s/90’s</w:t>
      </w:r>
    </w:p>
    <w:p w:rsidR="00F622C0" w:rsidRDefault="00F622C0" w:rsidP="00F622C0">
      <w:pPr>
        <w:pStyle w:val="ListParagraph"/>
        <w:numPr>
          <w:ilvl w:val="1"/>
          <w:numId w:val="2"/>
        </w:numPr>
      </w:pPr>
      <w:r>
        <w:t>Drug supply contamination- Cocaine, Methamphetamine, and Stimulants Conference 2019</w:t>
      </w:r>
    </w:p>
    <w:p w:rsidR="00F622C0" w:rsidRDefault="00133045" w:rsidP="00F622C0">
      <w:pPr>
        <w:pStyle w:val="ListParagraph"/>
        <w:numPr>
          <w:ilvl w:val="2"/>
          <w:numId w:val="2"/>
        </w:numPr>
      </w:pPr>
      <w:r>
        <w:t>Orman Hall, Ohio High Intensity Drug Trafficking Area (HIDTA)</w:t>
      </w:r>
    </w:p>
    <w:p w:rsidR="00133045" w:rsidRDefault="00133045" w:rsidP="00133045">
      <w:pPr>
        <w:pStyle w:val="ListParagraph"/>
        <w:numPr>
          <w:ilvl w:val="3"/>
          <w:numId w:val="2"/>
        </w:numPr>
      </w:pPr>
      <w:r>
        <w:t>Meth/Ice seizures spiked starting in 2017</w:t>
      </w:r>
    </w:p>
    <w:p w:rsidR="00133045" w:rsidRDefault="00133045" w:rsidP="00133045">
      <w:pPr>
        <w:pStyle w:val="ListParagraph"/>
        <w:numPr>
          <w:ilvl w:val="3"/>
          <w:numId w:val="2"/>
        </w:numPr>
      </w:pPr>
      <w:r>
        <w:lastRenderedPageBreak/>
        <w:t xml:space="preserve">2018 seizures- 96% stimulants (26% meth/ice, 70% cocaine/crack, 3% opioids); </w:t>
      </w:r>
    </w:p>
    <w:p w:rsidR="00133045" w:rsidRDefault="00133045" w:rsidP="00133045">
      <w:pPr>
        <w:pStyle w:val="ListParagraph"/>
        <w:numPr>
          <w:ilvl w:val="3"/>
          <w:numId w:val="2"/>
        </w:numPr>
      </w:pPr>
      <w:r>
        <w:t>Drug supply of stimulants contamination with fentanyl and/or heroin contributing to overdose deaths; 28% overdoses reported contamination with fentanyl and unintentional use (OH HIDTA, 2018)</w:t>
      </w:r>
    </w:p>
    <w:p w:rsidR="00133045" w:rsidRDefault="00133045" w:rsidP="00133045">
      <w:pPr>
        <w:pStyle w:val="ListParagraph"/>
        <w:numPr>
          <w:ilvl w:val="2"/>
          <w:numId w:val="2"/>
        </w:numPr>
      </w:pPr>
      <w:r>
        <w:t xml:space="preserve">Stephen McConachie, US Customs and Border Protection; “What We’re Seeing on the Streets: The Latest Stimulant Variants Crossing the Border”, </w:t>
      </w:r>
      <w:r w:rsidR="001535A2">
        <w:t>CMSC 2019</w:t>
      </w:r>
    </w:p>
    <w:p w:rsidR="001535A2" w:rsidRDefault="001535A2" w:rsidP="001535A2">
      <w:pPr>
        <w:pStyle w:val="ListParagraph"/>
        <w:numPr>
          <w:ilvl w:val="3"/>
          <w:numId w:val="2"/>
        </w:numPr>
      </w:pPr>
      <w:r>
        <w:t>What they capture at the border manifests on streets 6 months later</w:t>
      </w:r>
    </w:p>
    <w:p w:rsidR="001535A2" w:rsidRDefault="001535A2" w:rsidP="001535A2">
      <w:pPr>
        <w:pStyle w:val="ListParagraph"/>
        <w:numPr>
          <w:ilvl w:val="3"/>
          <w:numId w:val="2"/>
        </w:numPr>
      </w:pPr>
      <w:r>
        <w:t>Difficult to impact; Agents capture approx. 5-10% of drugs crossing the “border” (land, airports, seaports, Miami River, international mail, express consignment hubs such as UPS and DHL), so 90% still gets to the streets.</w:t>
      </w:r>
    </w:p>
    <w:p w:rsidR="001535A2" w:rsidRDefault="001535A2" w:rsidP="001535A2">
      <w:pPr>
        <w:pStyle w:val="ListParagraph"/>
        <w:numPr>
          <w:ilvl w:val="3"/>
          <w:numId w:val="2"/>
        </w:numPr>
      </w:pPr>
      <w:r>
        <w:t>Meth seizures quadrupled since 2014</w:t>
      </w:r>
    </w:p>
    <w:p w:rsidR="001535A2" w:rsidRDefault="001535A2" w:rsidP="001535A2">
      <w:pPr>
        <w:pStyle w:val="ListParagraph"/>
        <w:numPr>
          <w:ilvl w:val="3"/>
          <w:numId w:val="2"/>
        </w:numPr>
      </w:pPr>
      <w:r>
        <w:t>Mexican Drug Cartels have shifted production away from poppy fields/opioids to Meth “Super Labs”- cheaper and higher demand</w:t>
      </w:r>
    </w:p>
    <w:p w:rsidR="001535A2" w:rsidRDefault="001535A2" w:rsidP="001535A2">
      <w:pPr>
        <w:pStyle w:val="ListParagraph"/>
        <w:numPr>
          <w:ilvl w:val="4"/>
          <w:numId w:val="2"/>
        </w:numPr>
      </w:pPr>
      <w:r>
        <w:t>SUD individuals will consume what is available</w:t>
      </w:r>
    </w:p>
    <w:p w:rsidR="001535A2" w:rsidRPr="00F622C0" w:rsidRDefault="001535A2" w:rsidP="001535A2">
      <w:pPr>
        <w:pStyle w:val="ListParagraph"/>
        <w:numPr>
          <w:ilvl w:val="4"/>
          <w:numId w:val="2"/>
        </w:numPr>
      </w:pPr>
      <w:r>
        <w:t>Towns that were primarily THC use have converted to Meth due to market change</w:t>
      </w:r>
    </w:p>
    <w:p w:rsidR="00BD6613" w:rsidRDefault="00BD6613" w:rsidP="00BD6613">
      <w:pPr>
        <w:pStyle w:val="ListParagraph"/>
        <w:numPr>
          <w:ilvl w:val="0"/>
          <w:numId w:val="2"/>
        </w:numPr>
      </w:pPr>
      <w:r w:rsidRPr="00F622C0">
        <w:t>Evidence-Based Non-Pharmacological</w:t>
      </w:r>
      <w:r w:rsidR="00AA0A78">
        <w:t>/Behavioral Health</w:t>
      </w:r>
      <w:r w:rsidRPr="00F622C0">
        <w:t xml:space="preserve"> Interventions</w:t>
      </w:r>
    </w:p>
    <w:p w:rsidR="00AA0A78" w:rsidRDefault="006324F0" w:rsidP="00AA0A78">
      <w:pPr>
        <w:pStyle w:val="ListParagraph"/>
        <w:numPr>
          <w:ilvl w:val="1"/>
          <w:numId w:val="2"/>
        </w:numPr>
      </w:pPr>
      <w:r>
        <w:t>SAMHSA TEP for Evidence-Based Guidebook on Treatment of Stimulant Use</w:t>
      </w:r>
    </w:p>
    <w:p w:rsidR="006324F0" w:rsidRDefault="006324F0" w:rsidP="006324F0">
      <w:pPr>
        <w:pStyle w:val="ListParagraph"/>
        <w:numPr>
          <w:ilvl w:val="2"/>
          <w:numId w:val="2"/>
        </w:numPr>
      </w:pPr>
      <w:r>
        <w:t xml:space="preserve">Motivational Interviewing, Contingency </w:t>
      </w:r>
      <w:r w:rsidR="00A70545">
        <w:t>Management, Community</w:t>
      </w:r>
      <w:r>
        <w:t xml:space="preserve"> Reinforcement Approach, Computer-Based Technologies for Cognitive Behavioral Therapy and Traditional CBT, Dialectical Behavioral Therapy, and Matrix Model</w:t>
      </w:r>
    </w:p>
    <w:p w:rsidR="006324F0" w:rsidRDefault="006324F0" w:rsidP="006324F0">
      <w:pPr>
        <w:pStyle w:val="ListParagraph"/>
        <w:numPr>
          <w:ilvl w:val="1"/>
          <w:numId w:val="2"/>
        </w:numPr>
      </w:pPr>
      <w:r>
        <w:t>Craig Rush, PhD; Professor at Univ. of Kentucky in Department of Behavioral Science, Psychiatry, and Psychology; over 25 years of Stimulant research</w:t>
      </w:r>
    </w:p>
    <w:p w:rsidR="006324F0" w:rsidRDefault="006324F0" w:rsidP="006324F0">
      <w:pPr>
        <w:pStyle w:val="ListParagraph"/>
        <w:numPr>
          <w:ilvl w:val="2"/>
          <w:numId w:val="2"/>
        </w:numPr>
      </w:pPr>
      <w:r>
        <w:t>“Targeting Impulse Control for Stimulant Disorders”</w:t>
      </w:r>
    </w:p>
    <w:p w:rsidR="006324F0" w:rsidRDefault="006324F0" w:rsidP="006324F0">
      <w:pPr>
        <w:pStyle w:val="ListParagraph"/>
        <w:numPr>
          <w:ilvl w:val="3"/>
          <w:numId w:val="2"/>
        </w:numPr>
      </w:pPr>
      <w:r>
        <w:t>Research: Stimulant/Meth use causes disruption in cognitive/behavioral “Go/No Go” system of the brain via neuromodulators of GABA, Glutamate, and DA</w:t>
      </w:r>
    </w:p>
    <w:p w:rsidR="006324F0" w:rsidRDefault="006324F0" w:rsidP="006324F0">
      <w:pPr>
        <w:pStyle w:val="ListParagraph"/>
        <w:numPr>
          <w:ilvl w:val="3"/>
          <w:numId w:val="2"/>
        </w:numPr>
      </w:pPr>
      <w:r>
        <w:t>Teaching Hypothetical Delay Discounting and Behavioral Inhibition</w:t>
      </w:r>
    </w:p>
    <w:p w:rsidR="006324F0" w:rsidRPr="00F622C0" w:rsidRDefault="006324F0" w:rsidP="006324F0">
      <w:pPr>
        <w:pStyle w:val="ListParagraph"/>
        <w:numPr>
          <w:ilvl w:val="3"/>
          <w:numId w:val="2"/>
        </w:numPr>
      </w:pPr>
      <w:r>
        <w:t>Focus on impulse control via Inhibitory Control training</w:t>
      </w:r>
    </w:p>
    <w:p w:rsidR="00BD6613" w:rsidRPr="006324F0" w:rsidRDefault="00BD6613" w:rsidP="00BD6613">
      <w:pPr>
        <w:pStyle w:val="ListParagraph"/>
        <w:numPr>
          <w:ilvl w:val="0"/>
          <w:numId w:val="2"/>
        </w:numPr>
        <w:rPr>
          <w:u w:val="single"/>
        </w:rPr>
      </w:pPr>
      <w:r w:rsidRPr="0034222D">
        <w:t>Non-FDA Approved Pharmacological Options</w:t>
      </w:r>
      <w:r w:rsidR="006324F0">
        <w:t>\</w:t>
      </w:r>
    </w:p>
    <w:p w:rsidR="006324F0" w:rsidRPr="00C64F8C" w:rsidRDefault="006324F0" w:rsidP="006324F0">
      <w:pPr>
        <w:pStyle w:val="ListParagraph"/>
        <w:numPr>
          <w:ilvl w:val="1"/>
          <w:numId w:val="2"/>
        </w:numPr>
        <w:rPr>
          <w:u w:val="single"/>
        </w:rPr>
      </w:pPr>
      <w:r>
        <w:t>Craig Rush, PhD</w:t>
      </w:r>
    </w:p>
    <w:p w:rsidR="00C64F8C" w:rsidRPr="00C64F8C" w:rsidRDefault="00C64F8C" w:rsidP="00C64F8C">
      <w:pPr>
        <w:pStyle w:val="ListParagraph"/>
        <w:numPr>
          <w:ilvl w:val="2"/>
          <w:numId w:val="2"/>
        </w:numPr>
        <w:rPr>
          <w:u w:val="single"/>
        </w:rPr>
      </w:pPr>
      <w:r>
        <w:t>Inpatient Study: Topiramate 100mg plus Phentermine 30mg combination resulted in 68% abstinence rates</w:t>
      </w:r>
    </w:p>
    <w:p w:rsidR="00C64F8C" w:rsidRPr="00C64F8C" w:rsidRDefault="00C64F8C" w:rsidP="00C64F8C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Dr. William </w:t>
      </w:r>
      <w:proofErr w:type="spellStart"/>
      <w:r>
        <w:t>Morrone</w:t>
      </w:r>
      <w:proofErr w:type="spellEnd"/>
      <w:r>
        <w:t>, DO, MPH</w:t>
      </w:r>
    </w:p>
    <w:p w:rsidR="00C64F8C" w:rsidRPr="00C64F8C" w:rsidRDefault="00C64F8C" w:rsidP="00C64F8C">
      <w:pPr>
        <w:pStyle w:val="ListParagraph"/>
        <w:numPr>
          <w:ilvl w:val="2"/>
          <w:numId w:val="2"/>
        </w:numPr>
        <w:rPr>
          <w:u w:val="single"/>
        </w:rPr>
      </w:pPr>
      <w:r>
        <w:t>“Neuropharmacology Needed to Mitigate Methamphetamine and Cocaine Addiction in the Absence of FDA Approved Treatments”</w:t>
      </w:r>
    </w:p>
    <w:p w:rsidR="00C64F8C" w:rsidRDefault="00C64F8C" w:rsidP="00C64F8C">
      <w:pPr>
        <w:pStyle w:val="ListParagraph"/>
        <w:numPr>
          <w:ilvl w:val="3"/>
          <w:numId w:val="2"/>
        </w:numPr>
      </w:pPr>
      <w:r w:rsidRPr="00C64F8C">
        <w:t>Selegiline</w:t>
      </w:r>
      <w:r>
        <w:t xml:space="preserve"> (increase DA and </w:t>
      </w:r>
      <w:r w:rsidR="00A70545">
        <w:t xml:space="preserve">metabolism </w:t>
      </w:r>
      <w:r>
        <w:t>to methamphetamine and amphetamine- agonist replacement therapy) in combination with naltrexone compound (200mg/ml solution)</w:t>
      </w:r>
    </w:p>
    <w:p w:rsidR="00C64F8C" w:rsidRDefault="00C64F8C" w:rsidP="00C64F8C">
      <w:pPr>
        <w:pStyle w:val="ListParagraph"/>
        <w:numPr>
          <w:ilvl w:val="3"/>
          <w:numId w:val="2"/>
        </w:numPr>
      </w:pPr>
      <w:r>
        <w:t>Study findings: Phentermine was not as effective as Selegiline</w:t>
      </w:r>
    </w:p>
    <w:p w:rsidR="00C64F8C" w:rsidRDefault="00C64F8C" w:rsidP="00C64F8C">
      <w:pPr>
        <w:pStyle w:val="ListParagraph"/>
        <w:numPr>
          <w:ilvl w:val="3"/>
          <w:numId w:val="2"/>
        </w:numPr>
      </w:pPr>
      <w:r>
        <w:lastRenderedPageBreak/>
        <w:t xml:space="preserve">Assess for </w:t>
      </w:r>
      <w:proofErr w:type="spellStart"/>
      <w:r>
        <w:t>Dopanine</w:t>
      </w:r>
      <w:proofErr w:type="spellEnd"/>
      <w:r>
        <w:t xml:space="preserve"> Acute Withdrawal Syndrome (DAWS) during early stimulant abstinence</w:t>
      </w:r>
    </w:p>
    <w:p w:rsidR="00C64F8C" w:rsidRDefault="00C64F8C" w:rsidP="00C64F8C">
      <w:pPr>
        <w:pStyle w:val="ListParagraph"/>
        <w:numPr>
          <w:ilvl w:val="2"/>
          <w:numId w:val="2"/>
        </w:numPr>
      </w:pPr>
      <w:r>
        <w:t>Ted Hall</w:t>
      </w:r>
    </w:p>
    <w:p w:rsidR="00C64F8C" w:rsidRDefault="00C64F8C" w:rsidP="00C64F8C">
      <w:pPr>
        <w:pStyle w:val="ListParagraph"/>
        <w:numPr>
          <w:ilvl w:val="3"/>
          <w:numId w:val="2"/>
        </w:numPr>
      </w:pPr>
      <w:r>
        <w:t xml:space="preserve">Long acting naltrexone (Vivitrol) injection use in MUD patients in past; </w:t>
      </w:r>
      <w:r w:rsidR="00807053">
        <w:t>anecdotal</w:t>
      </w:r>
      <w:r>
        <w:t xml:space="preserve"> observations of </w:t>
      </w:r>
      <w:proofErr w:type="spellStart"/>
      <w:r>
        <w:t>self reported</w:t>
      </w:r>
      <w:proofErr w:type="spellEnd"/>
      <w:r>
        <w:t xml:space="preserve"> less meth use days and reduction in amount of meth when using (similar to alcohol use disorder outcomes studies)</w:t>
      </w:r>
    </w:p>
    <w:p w:rsidR="00C64F8C" w:rsidRDefault="00C64F8C" w:rsidP="00C64F8C">
      <w:pPr>
        <w:pStyle w:val="ListParagraph"/>
        <w:numPr>
          <w:ilvl w:val="3"/>
          <w:numId w:val="2"/>
        </w:numPr>
      </w:pPr>
      <w:r>
        <w:t>Start using Vivitrol plus acamprosate to help restore GABA/Glutamate balance and mitigate impulsivity.  Add Selegiline in clinically appropriate patents.</w:t>
      </w:r>
    </w:p>
    <w:p w:rsidR="00C64F8C" w:rsidRDefault="00C64F8C" w:rsidP="00C64F8C">
      <w:pPr>
        <w:pStyle w:val="ListParagraph"/>
        <w:numPr>
          <w:ilvl w:val="3"/>
          <w:numId w:val="2"/>
        </w:numPr>
      </w:pPr>
      <w:r>
        <w:t xml:space="preserve">Article: </w:t>
      </w:r>
      <w:r w:rsidR="00210230">
        <w:t>“</w:t>
      </w:r>
      <w:r>
        <w:t>Inhibitory Regulation of the Prefrontal Cortex Following Behavioral Sensitization</w:t>
      </w:r>
      <w:r w:rsidR="00210230">
        <w:t xml:space="preserve"> to Amphetamine/Methamphetamine Psychostimulants: A Review of GABAergic Mechanisms”</w:t>
      </w:r>
    </w:p>
    <w:p w:rsidR="00210230" w:rsidRDefault="00210230" w:rsidP="00210230">
      <w:pPr>
        <w:pStyle w:val="ListParagraph"/>
        <w:numPr>
          <w:ilvl w:val="4"/>
          <w:numId w:val="2"/>
        </w:numPr>
      </w:pPr>
      <w:r>
        <w:t>Behavioral sensitization refers to the unique phenom</w:t>
      </w:r>
      <w:r w:rsidR="00807053">
        <w:t>enon</w:t>
      </w:r>
      <w:r>
        <w:t xml:space="preserve"> </w:t>
      </w:r>
      <w:r w:rsidR="00807053">
        <w:t>whereby</w:t>
      </w:r>
      <w:r>
        <w:t xml:space="preserve"> repeat exposure to stimulants results in progressively increased behavioral and neurochemical response to stimulus following a period of abstinence (</w:t>
      </w:r>
      <w:r w:rsidR="00D43C85">
        <w:t xml:space="preserve">mediated through DA regulation in </w:t>
      </w:r>
      <w:r w:rsidR="00421061">
        <w:t>mesolimbic pathway, specifically in the ventral tegmental area).</w:t>
      </w:r>
    </w:p>
    <w:p w:rsidR="00421061" w:rsidRDefault="00421061" w:rsidP="00421061">
      <w:pPr>
        <w:pStyle w:val="ListParagraph"/>
        <w:numPr>
          <w:ilvl w:val="5"/>
          <w:numId w:val="2"/>
        </w:numPr>
      </w:pPr>
      <w:r>
        <w:t>Findings suggest a significant role of GABAergic neurons in the PFC following the sensitization of Meth as well as regional PFC GABA changes,</w:t>
      </w:r>
    </w:p>
    <w:p w:rsidR="00421061" w:rsidRPr="00C64F8C" w:rsidRDefault="00421061" w:rsidP="00421061">
      <w:pPr>
        <w:pStyle w:val="ListParagraph"/>
        <w:numPr>
          <w:ilvl w:val="6"/>
          <w:numId w:val="2"/>
        </w:numPr>
      </w:pPr>
      <w:r>
        <w:t>May explain how altered inhibitory control of efferent networks from PFC may maintain sensitized circuitry, sensitivity to drug-induced rewards, and persistent vulnerability to psychotic relapse in chronic psychosis</w:t>
      </w:r>
    </w:p>
    <w:p w:rsidR="00BD6613" w:rsidRPr="0034222D" w:rsidRDefault="00BD6613" w:rsidP="00BD6613">
      <w:pPr>
        <w:pStyle w:val="ListParagraph"/>
        <w:numPr>
          <w:ilvl w:val="0"/>
          <w:numId w:val="2"/>
        </w:numPr>
        <w:rPr>
          <w:u w:val="single"/>
        </w:rPr>
      </w:pPr>
      <w:r w:rsidRPr="0034222D">
        <w:t>Infectious Disease/COVID-19 Considerations</w:t>
      </w:r>
    </w:p>
    <w:p w:rsidR="00BD6613" w:rsidRDefault="00BD6613" w:rsidP="00BD6613">
      <w:pPr>
        <w:pStyle w:val="ListParagraph"/>
        <w:numPr>
          <w:ilvl w:val="1"/>
          <w:numId w:val="2"/>
        </w:numPr>
      </w:pPr>
      <w:r w:rsidRPr="0034222D">
        <w:t>IV Use and Chem Sex</w:t>
      </w:r>
    </w:p>
    <w:p w:rsidR="00421061" w:rsidRDefault="00421061" w:rsidP="00421061">
      <w:pPr>
        <w:pStyle w:val="ListParagraph"/>
        <w:numPr>
          <w:ilvl w:val="2"/>
          <w:numId w:val="2"/>
        </w:numPr>
      </w:pPr>
      <w:r>
        <w:t xml:space="preserve">Brad </w:t>
      </w:r>
      <w:proofErr w:type="spellStart"/>
      <w:r>
        <w:t>Lamm</w:t>
      </w:r>
      <w:proofErr w:type="spellEnd"/>
      <w:r>
        <w:t xml:space="preserve">, </w:t>
      </w:r>
      <w:proofErr w:type="spellStart"/>
      <w:r>
        <w:t>ChemSex</w:t>
      </w:r>
      <w:proofErr w:type="spellEnd"/>
      <w:r>
        <w:t>- meth-fused compulsive sex and roles of DA reward</w:t>
      </w:r>
      <w:r w:rsidR="00807053">
        <w:t xml:space="preserve"> (Cocaine, Methamphetamine, and Stimulants Summit, 2019)</w:t>
      </w:r>
    </w:p>
    <w:p w:rsidR="00683149" w:rsidRDefault="00683149" w:rsidP="00683149">
      <w:pPr>
        <w:pStyle w:val="ListParagraph"/>
        <w:numPr>
          <w:ilvl w:val="3"/>
          <w:numId w:val="2"/>
        </w:numPr>
      </w:pPr>
      <w:proofErr w:type="spellStart"/>
      <w:r>
        <w:t>ChemSex</w:t>
      </w:r>
      <w:proofErr w:type="spellEnd"/>
      <w:r>
        <w:t xml:space="preserve"> is treatment intolerant due to litany of available triggers</w:t>
      </w:r>
    </w:p>
    <w:p w:rsidR="00683149" w:rsidRDefault="00683149" w:rsidP="00683149">
      <w:pPr>
        <w:pStyle w:val="ListParagraph"/>
        <w:numPr>
          <w:ilvl w:val="3"/>
          <w:numId w:val="2"/>
        </w:numPr>
      </w:pPr>
      <w:r>
        <w:t>Concomitant use with Viagra, GHB, and Amyl Nitrate (poppers)</w:t>
      </w:r>
    </w:p>
    <w:p w:rsidR="00807053" w:rsidRDefault="00807053" w:rsidP="00807053">
      <w:pPr>
        <w:pStyle w:val="ListParagraph"/>
        <w:numPr>
          <w:ilvl w:val="3"/>
          <w:numId w:val="2"/>
        </w:numPr>
      </w:pPr>
      <w:r>
        <w:t>Miami demonstration at HYATT; using app Grinder to find offers of sex for meth exchange.</w:t>
      </w:r>
    </w:p>
    <w:p w:rsidR="00421061" w:rsidRDefault="000A1F0A" w:rsidP="00421061">
      <w:pPr>
        <w:pStyle w:val="ListParagraph"/>
        <w:numPr>
          <w:ilvl w:val="2"/>
          <w:numId w:val="2"/>
        </w:numPr>
      </w:pPr>
      <w:r>
        <w:t>IV meth use increases risk of HIV and Hepatitis C</w:t>
      </w:r>
      <w:r w:rsidR="00D12BB3">
        <w:t>; increased popularity as primary route of administration as an art</w:t>
      </w:r>
      <w:bookmarkStart w:id="0" w:name="_GoBack"/>
      <w:bookmarkEnd w:id="0"/>
      <w:r w:rsidR="00D12BB3">
        <w:t>ifact of the opioid epidemic</w:t>
      </w:r>
    </w:p>
    <w:p w:rsidR="000A1F0A" w:rsidRDefault="000A1F0A" w:rsidP="00421061">
      <w:pPr>
        <w:pStyle w:val="ListParagraph"/>
        <w:numPr>
          <w:ilvl w:val="2"/>
          <w:numId w:val="2"/>
        </w:numPr>
      </w:pPr>
      <w:r>
        <w:t>Article: “Association Between Methamphetamine Use and Retention Among Patients with Opioid Use Disorders Treated with Buprenorphine”</w:t>
      </w:r>
    </w:p>
    <w:p w:rsidR="000A1F0A" w:rsidRDefault="000A1F0A" w:rsidP="000A1F0A">
      <w:pPr>
        <w:pStyle w:val="ListParagraph"/>
        <w:numPr>
          <w:ilvl w:val="3"/>
          <w:numId w:val="2"/>
        </w:numPr>
      </w:pPr>
      <w:r>
        <w:t>Increased risk of overdose death as consequence of persons who inject drugs (PWID) concomitant use of methamphetamine and opioids</w:t>
      </w:r>
    </w:p>
    <w:p w:rsidR="000A1F0A" w:rsidRDefault="000A1F0A" w:rsidP="000A1F0A">
      <w:pPr>
        <w:pStyle w:val="ListParagraph"/>
        <w:numPr>
          <w:ilvl w:val="4"/>
          <w:numId w:val="2"/>
        </w:numPr>
      </w:pPr>
      <w:r>
        <w:t xml:space="preserve">Study PWID in Seattle metro area demonstrated that increasing methamphetamine among non-MSM individuals between 2009 </w:t>
      </w:r>
      <w:r>
        <w:lastRenderedPageBreak/>
        <w:t xml:space="preserve">and 2017, with 53% reporting simultaneous injection of heroin and methamphetamines. </w:t>
      </w:r>
    </w:p>
    <w:p w:rsidR="000A1F0A" w:rsidRDefault="000A1F0A" w:rsidP="000A1F0A">
      <w:pPr>
        <w:pStyle w:val="ListParagraph"/>
        <w:numPr>
          <w:ilvl w:val="3"/>
          <w:numId w:val="2"/>
        </w:numPr>
      </w:pPr>
      <w:r>
        <w:t>Sexual risk taking and HIV among men who have sex with men (MSM)</w:t>
      </w:r>
    </w:p>
    <w:p w:rsidR="00C64F8C" w:rsidRDefault="00421061" w:rsidP="00BD6613">
      <w:pPr>
        <w:pStyle w:val="ListParagraph"/>
        <w:numPr>
          <w:ilvl w:val="1"/>
          <w:numId w:val="2"/>
        </w:numPr>
      </w:pPr>
      <w:r>
        <w:t>COVID-19</w:t>
      </w:r>
    </w:p>
    <w:p w:rsidR="00421061" w:rsidRDefault="00421061" w:rsidP="00421061">
      <w:pPr>
        <w:pStyle w:val="ListParagraph"/>
        <w:numPr>
          <w:ilvl w:val="2"/>
          <w:numId w:val="2"/>
        </w:numPr>
      </w:pPr>
      <w:r>
        <w:t>Mobile population</w:t>
      </w:r>
    </w:p>
    <w:p w:rsidR="00421061" w:rsidRDefault="00421061" w:rsidP="00421061">
      <w:pPr>
        <w:pStyle w:val="ListParagraph"/>
        <w:numPr>
          <w:ilvl w:val="2"/>
          <w:numId w:val="2"/>
        </w:numPr>
      </w:pPr>
      <w:r>
        <w:t>Unlikely to abide by ‘stay at home’ orders, social distancing or even be aware of them</w:t>
      </w:r>
    </w:p>
    <w:p w:rsidR="00421061" w:rsidRDefault="00421061" w:rsidP="00421061">
      <w:pPr>
        <w:pStyle w:val="ListParagraph"/>
        <w:numPr>
          <w:ilvl w:val="2"/>
          <w:numId w:val="2"/>
        </w:numPr>
      </w:pPr>
      <w:r>
        <w:t xml:space="preserve">High risk for COVID-19 severe disease due to changes to </w:t>
      </w:r>
      <w:proofErr w:type="gramStart"/>
      <w:r>
        <w:t>interstitial  lung</w:t>
      </w:r>
      <w:proofErr w:type="gramEnd"/>
      <w:r>
        <w:t xml:space="preserve"> tissue from chemical exposure of meth contaminants</w:t>
      </w:r>
    </w:p>
    <w:p w:rsidR="00421061" w:rsidRDefault="00421061" w:rsidP="00421061">
      <w:pPr>
        <w:pStyle w:val="ListParagraph"/>
        <w:numPr>
          <w:ilvl w:val="2"/>
          <w:numId w:val="2"/>
        </w:numPr>
      </w:pPr>
      <w:r>
        <w:t>Psychosis and paranoia contribute to disregard and distrust of CDC recommendations (Gov’t conspiracies)</w:t>
      </w:r>
    </w:p>
    <w:p w:rsidR="00421061" w:rsidRPr="0034222D" w:rsidRDefault="00421061" w:rsidP="00421061">
      <w:pPr>
        <w:pStyle w:val="ListParagraph"/>
        <w:numPr>
          <w:ilvl w:val="2"/>
          <w:numId w:val="2"/>
        </w:numPr>
      </w:pPr>
    </w:p>
    <w:p w:rsidR="00953E12" w:rsidRPr="00953E12" w:rsidRDefault="00953E12" w:rsidP="00681602">
      <w:pPr>
        <w:jc w:val="center"/>
        <w:rPr>
          <w:b/>
          <w:u w:val="single"/>
        </w:rPr>
      </w:pPr>
    </w:p>
    <w:sectPr w:rsidR="00953E12" w:rsidRPr="0095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86" w:rsidRDefault="00174B86" w:rsidP="00174B86">
      <w:pPr>
        <w:spacing w:after="0" w:line="240" w:lineRule="auto"/>
      </w:pPr>
      <w:r>
        <w:separator/>
      </w:r>
    </w:p>
  </w:endnote>
  <w:endnote w:type="continuationSeparator" w:id="0">
    <w:p w:rsidR="00174B86" w:rsidRDefault="00174B86" w:rsidP="0017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86" w:rsidRDefault="00174B86" w:rsidP="00174B86">
      <w:pPr>
        <w:spacing w:after="0" w:line="240" w:lineRule="auto"/>
      </w:pPr>
      <w:r>
        <w:separator/>
      </w:r>
    </w:p>
  </w:footnote>
  <w:footnote w:type="continuationSeparator" w:id="0">
    <w:p w:rsidR="00174B86" w:rsidRDefault="00174B86" w:rsidP="0017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C21"/>
    <w:multiLevelType w:val="hybridMultilevel"/>
    <w:tmpl w:val="DF4E4A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22A5"/>
    <w:multiLevelType w:val="multilevel"/>
    <w:tmpl w:val="92D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86"/>
    <w:rsid w:val="000A1F0A"/>
    <w:rsid w:val="00133045"/>
    <w:rsid w:val="001535A2"/>
    <w:rsid w:val="00174B86"/>
    <w:rsid w:val="00210230"/>
    <w:rsid w:val="0034222D"/>
    <w:rsid w:val="00421061"/>
    <w:rsid w:val="00540193"/>
    <w:rsid w:val="006324F0"/>
    <w:rsid w:val="00675A7F"/>
    <w:rsid w:val="00681602"/>
    <w:rsid w:val="00683149"/>
    <w:rsid w:val="007402C1"/>
    <w:rsid w:val="00807053"/>
    <w:rsid w:val="00822CB2"/>
    <w:rsid w:val="00953E12"/>
    <w:rsid w:val="00A70545"/>
    <w:rsid w:val="00AA0A78"/>
    <w:rsid w:val="00BD6613"/>
    <w:rsid w:val="00C6052E"/>
    <w:rsid w:val="00C64F8C"/>
    <w:rsid w:val="00D12BB3"/>
    <w:rsid w:val="00D43C85"/>
    <w:rsid w:val="00F6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31AE"/>
  <w15:chartTrackingRefBased/>
  <w15:docId w15:val="{9D9E48C3-C1BB-4965-8B9A-F4C4C0C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86"/>
  </w:style>
  <w:style w:type="paragraph" w:styleId="Footer">
    <w:name w:val="footer"/>
    <w:basedOn w:val="Normal"/>
    <w:link w:val="FooterChar"/>
    <w:uiPriority w:val="99"/>
    <w:unhideWhenUsed/>
    <w:rsid w:val="0017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86"/>
  </w:style>
  <w:style w:type="paragraph" w:styleId="ListParagraph">
    <w:name w:val="List Paragraph"/>
    <w:basedOn w:val="Normal"/>
    <w:uiPriority w:val="34"/>
    <w:qFormat/>
    <w:rsid w:val="00BD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8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r20.rs6.net/tn.jsp?f=001nr19-PTUOrGaXXdSnpcduIiQ0gDaZVWM9jaRAP5Cm76d-xdXwn6GDMa_Y95gU8z23NEuhualmqDuzlnez-W7o3BkIFMhUXWZD2xx52Rty2ZNb3vVqmbhkAkgA4J2Ch7yhkiSODseOXmRlc22cW6fsNSJc20AtBofxjsdmvABMRKIDjrMJK0EVKURJXk5hyEPmHnSLN4c7kfQ47KhETniKQi5aI_tXHOBO7QjkOBjNC8=&amp;c=jBzG7FE1B9HNryuAHNN0oahmTpgpakpNMyopgU48AdAsFqdn70LMSw==&amp;ch=vrefIWXWX26E6zvH3qSCQoNdZY4aniXxIVg7q_2NUdnA2D1RBvIzWQ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r20.rs6.net/tn.jsp?f=001nr19-PTUOrGaXXdSnpcduIiQ0gDaZVWM9jaRAP5Cm76d-xdXwn6GDMa_Y95gU8z2vChAoia6QLnHCGD2eYgJeElaedd7T5Eg_PLdegQuELUCXJQ8oRrO5njU9ChmW0p1uuCblrBgDnMKk944usYcE8aBNloaGG8QrvOXxJOOkPv-clLUjEvSJv3XXYY7glTT5jt-0TwHZhBVoHAe07ByEdqgEmOAQKriKoXP7cZ39LY=&amp;c=jBzG7FE1B9HNryuAHNN0oahmTpgpakpNMyopgU48AdAsFqdn70LMSw==&amp;ch=vrefIWXWX26E6zvH3qSCQoNdZY4aniXxIVg7q_2NUdnA2D1RBvIzWQ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20.rs6.net/tn.jsp?f=001nr19-PTUOrGaXXdSnpcduIiQ0gDaZVWM9jaRAP5Cm76d-xdXwn6GDMa_Y95gU8z2S3SQlKtTv4kGrkUlmuN-PGbe4g3bAa-0NasRr3fqXwewqZquLkGwWtsRRA5t4Mj93IO_6V8Z5wRINVhObWeHCVghJclklNVH_X3kprnAvlY3g7WSm-dd-_kLCxw5NI-CyKLppZkofv1gX093yAAjjbNFOftz6JuqAgE7p98kC14=&amp;c=jBzG7FE1B9HNryuAHNN0oahmTpgpakpNMyopgU48AdAsFqdn70LMSw==&amp;ch=vrefIWXWX26E6zvH3qSCQoNdZY4aniXxIVg7q_2NUdnA2D1RBvIzWQ=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20.rs6.net/tn.jsp?f=001nr19-PTUOrGaXXdSnpcduIiQ0gDaZVWM9jaRAP5Cm76d-xdXwn6GDMa_Y95gU8z2EyIeAY4Bp5ZX7z7i8g9Px2XKL4GhQeAr38rCFtCHtmup3ctUFiIL1goNTaxuMbgcv-jhzXxdg4Vynx-Q26fLdmdE4c7S4Ggd9THzFAVHrPtMlu66NMx4jk2Z5l5C68LJRuogNsvHv0TplW1WBHMNyiyDJZi5gZaJPshpYVfOprxVICTkJOycfNqFmL4YYH3tqwjjLzSkgRS1vbbQ5jILORBDek3DIAMuAdsP6gFPiPxzJsxJcKsuox3-A45ohX_Pl9Sz2QQrHA2BE6XOXE3wXKX46X1HRhOUUvBLUIm5xZNu0m8PftQytc32RE31la6wp_Y2rO6oP-9yEac6522m-fj-ldumPKhe8AIJ0JcjkO5TRPuxtRChZQtEV8EfHDw9PnDF2-qLg4Kp12KLcg6zSBVzfQNpUqhJ5pFJ-TDafhc=&amp;c=jBzG7FE1B9HNryuAHNN0oahmTpgpakpNMyopgU48AdAsFqdn70LMSw==&amp;ch=vrefIWXWX26E6zvH3qSCQoNdZY4aniXxIVg7q_2NUdnA2D1RBvIzWQ==" TargetMode="External"/><Relationship Id="rId10" Type="http://schemas.openxmlformats.org/officeDocument/2006/relationships/hyperlink" Target="http://r20.rs6.net/tn.jsp?f=001nr19-PTUOrGaXXdSnpcduIiQ0gDaZVWM9jaRAP5Cm76d-xdXwn6GDMa_Y95gU8z2_QWiKLod8m05-qkv6CiqF7neS9KlgSiuCsoBoDa6BsVkqJV1-Rtm6yjB2Bh4BNj8dRMZcgm0OaozcafFNScZM_9KrSfIo_C3GDanD6DEIyb65nBoTsw6EAxlebZRYOqtefipSkkdEr3y1InY7RfCNBGGP3qO6hX9e4OCxe-woso=&amp;c=jBzG7FE1B9HNryuAHNN0oahmTpgpakpNMyopgU48AdAsFqdn70LMSw==&amp;ch=vrefIWXWX26E6zvH3qSCQoNdZY4aniXxIVg7q_2NUdnA2D1RBvIzW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nr19-PTUOrGaXXdSnpcduIiQ0gDaZVWM9jaRAP5Cm76d-xdXwn6GDMa_Y95gU8z2vn6yPgxZZDg-NnhTF3UPUz1vm1FqWsHHmSL0h6FxYfK8vMSSe6MXxQFp__QuzmUW9QwNNYYBfPCwEy9qplivwA71ZlK0HuIwxUAAxmV2byI=&amp;c=jBzG7FE1B9HNryuAHNN0oahmTpgpakpNMyopgU48AdAsFqdn70LMSw==&amp;ch=vrefIWXWX26E6zvH3qSCQoNdZY4aniXxIVg7q_2NUdnA2D1RBvIzWQ==" TargetMode="External"/><Relationship Id="rId14" Type="http://schemas.openxmlformats.org/officeDocument/2006/relationships/hyperlink" Target="http://r20.rs6.net/tn.jsp?f=001nr19-PTUOrGaXXdSnpcduIiQ0gDaZVWM9jaRAP5Cm76d-xdXwn6GDMa_Y95gU8z28tpC9SZavQ5tVygDpxuo82jYLzUHcGjWbsI2DqvsBFR5ak5KL960OBJXsZ7nzaN5cBdniu96ExUBxO5ddy3wdFoZOVlep8YzMFvIJ2J5IDoRbkUIzJbyWgn8E887_uwMxNHc3sFbxFHCczGYvgU379kvNAkBE3dfQEQ_b_k4xHE=&amp;c=jBzG7FE1B9HNryuAHNN0oahmTpgpakpNMyopgU48AdAsFqdn70LMSw==&amp;ch=vrefIWXWX26E6zvH3qSCQoNdZY4aniXxIVg7q_2NUdnA2D1RBvIzW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L. Hall</dc:creator>
  <cp:keywords/>
  <dc:description/>
  <cp:lastModifiedBy>Ted L. Hall</cp:lastModifiedBy>
  <cp:revision>14</cp:revision>
  <dcterms:created xsi:type="dcterms:W3CDTF">2020-03-26T21:06:00Z</dcterms:created>
  <dcterms:modified xsi:type="dcterms:W3CDTF">2020-03-26T23:41:00Z</dcterms:modified>
</cp:coreProperties>
</file>